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July 1,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p>
      <w:pPr>
        <w:pStyle w:val="TextBody"/>
        <w:bidi w:val="0"/>
        <w:spacing w:before="0" w:after="0"/>
        <w:jc w:val="left"/>
        <w:rPr/>
      </w:pPr>
      <w:r>
        <w:rPr/>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2263" w:type="dxa"/>
        <w:jc w:val="left"/>
        <w:tblInd w:w="0" w:type="dxa"/>
        <w:tblLayout w:type="fixed"/>
        <w:tblCellMar>
          <w:top w:w="28" w:type="dxa"/>
          <w:left w:w="28" w:type="dxa"/>
          <w:bottom w:w="28" w:type="dxa"/>
          <w:right w:w="28" w:type="dxa"/>
        </w:tblCellMar>
      </w:tblPr>
      <w:tblGrid>
        <w:gridCol w:w="347"/>
        <w:gridCol w:w="304"/>
        <w:gridCol w:w="308"/>
        <w:gridCol w:w="381"/>
        <w:gridCol w:w="381"/>
        <w:gridCol w:w="54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On July 1, 2026, ARMOUR Residential REIT, Inc. (“ARMOUR” or the “Company”) confirmed the cash dividend of $0.24 per share, payable to holders of ARMOUR common stock for the month of July 2026, as set forth below:</w:t>
      </w:r>
    </w:p>
    <w:tbl>
      <w:tblPr>
        <w:tblW w:w="3687" w:type="dxa"/>
        <w:jc w:val="center"/>
        <w:tblInd w:w="0" w:type="dxa"/>
        <w:tblLayout w:type="fixed"/>
        <w:tblCellMar>
          <w:top w:w="28" w:type="dxa"/>
          <w:left w:w="28" w:type="dxa"/>
          <w:bottom w:w="28" w:type="dxa"/>
          <w:right w:w="28" w:type="dxa"/>
        </w:tblCellMar>
      </w:tblPr>
      <w:tblGrid>
        <w:gridCol w:w="732"/>
        <w:gridCol w:w="644"/>
        <w:gridCol w:w="649"/>
        <w:gridCol w:w="109"/>
        <w:gridCol w:w="109"/>
        <w:gridCol w:w="109"/>
        <w:gridCol w:w="391"/>
        <w:gridCol w:w="391"/>
        <w:gridCol w:w="553"/>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Payment Date</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2026</w:t>
            </w:r>
          </w:p>
        </w:tc>
      </w:tr>
    </w:tbl>
    <w:p>
      <w:pPr>
        <w:pStyle w:val="TextBody"/>
        <w:bidi w:val="0"/>
        <w:spacing w:before="0" w:after="0"/>
        <w:ind w:left="0" w:right="0" w:firstLine="18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Additionally, ARMOUR confirmed on July 1, 2026, that a monthly cash dividend rate of $0.14583 per share will be payable to holders of ARMOUR Series C Preferred Stock for each of the three months in the third quarter of 2026 as set forth below:</w:t>
      </w:r>
    </w:p>
    <w:tbl>
      <w:tblPr>
        <w:tblW w:w="4121" w:type="dxa"/>
        <w:jc w:val="center"/>
        <w:tblInd w:w="0" w:type="dxa"/>
        <w:tblLayout w:type="fixed"/>
        <w:tblCellMar>
          <w:top w:w="28" w:type="dxa"/>
          <w:left w:w="28" w:type="dxa"/>
          <w:bottom w:w="28" w:type="dxa"/>
          <w:right w:w="28" w:type="dxa"/>
        </w:tblCellMar>
      </w:tblPr>
      <w:tblGrid>
        <w:gridCol w:w="732"/>
        <w:gridCol w:w="644"/>
        <w:gridCol w:w="649"/>
        <w:gridCol w:w="109"/>
        <w:gridCol w:w="109"/>
        <w:gridCol w:w="109"/>
        <w:gridCol w:w="518"/>
        <w:gridCol w:w="518"/>
        <w:gridCol w:w="733"/>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Payment Date</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27, 2026</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28,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ARMOUR's press release announcing the dividend is attached hereto as Exhibit 99.1 and incorporated herein by this reference.</w:t>
      </w:r>
    </w:p>
    <w:p>
      <w:pPr>
        <w:pStyle w:val="TextBody"/>
        <w:bidi w:val="0"/>
        <w:spacing w:lineRule="auto" w:line="288" w:before="0" w:after="0"/>
        <w:ind w:left="0" w:right="0" w:firstLine="180"/>
        <w:jc w:val="left"/>
        <w:rPr>
          <w:color w:val="000000"/>
        </w:rPr>
      </w:pPr>
      <w:r>
        <w:rPr>
          <w:color w:val="000000"/>
        </w:rPr>
        <w:t> </w:t>
      </w: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84"/>
        <w:gridCol w:w="337"/>
        <w:gridCol w:w="338"/>
        <w:gridCol w:w="109"/>
        <w:gridCol w:w="109"/>
        <w:gridCol w:w="109"/>
        <w:gridCol w:w="2576"/>
        <w:gridCol w:w="2576"/>
        <w:gridCol w:w="3667"/>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prconfirmingjulycommonandq.htm">
              <w:r>
                <w:rPr>
                  <w:rStyle w:val="InternetLink"/>
                  <w:rFonts w:ascii="Times New Roman;serif" w:hAnsi="Times New Roman;serif"/>
                  <w:b w:val="false"/>
                  <w:color w:val="0000FF"/>
                  <w:sz w:val="20"/>
                  <w:u w:val="single"/>
                </w:rPr>
                <w:t>Press Release confirming the July 2026 common dividend and the Q3 2026 dividends on Series C Preferred Stock</w:t>
              </w:r>
            </w:hyperlink>
          </w:p>
        </w:tc>
      </w:tr>
      <w:tr>
        <w:trPr/>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1, 2026</w:t>
      </w:r>
    </w:p>
    <w:p>
      <w:pPr>
        <w:pStyle w:val="TextBody"/>
        <w:bidi w:val="0"/>
        <w:spacing w:before="0" w:after="0"/>
        <w:jc w:val="left"/>
        <w:rPr/>
      </w:pPr>
      <w:r>
        <w:rPr/>
      </w:r>
    </w:p>
    <w:tbl>
      <w:tblPr>
        <w:tblW w:w="4629"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655"/>
        <w:gridCol w:w="655"/>
        <w:gridCol w:w="655"/>
        <w:gridCol w:w="359"/>
        <w:gridCol w:w="359"/>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ARMOUR RESIDENTIAL REIT,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228600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571500"/>
                    </a:xfrm>
                    <a:prstGeom prst="rect">
                      <a:avLst/>
                    </a:prstGeom>
                  </pic:spPr>
                </pic:pic>
              </a:graphicData>
            </a:graphic>
          </wp:inline>
        </w:drawing>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ARMOUR RESIDENTIAL REIT, INC. CONFIRMS JULY 2026 </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COMMON SHARE AND Q3 2026 SERIES C PREFERRED SHARE DIVIDENDS</w:t>
      </w:r>
    </w:p>
    <w:p>
      <w:pPr>
        <w:pStyle w:val="TextBody"/>
        <w:bidi w:val="0"/>
        <w:spacing w:before="0" w:after="0"/>
        <w:jc w:val="center"/>
        <w:rPr/>
      </w:pPr>
      <w:r>
        <w:rPr/>
      </w:r>
    </w:p>
    <w:p>
      <w:pPr>
        <w:pStyle w:val="TextBody"/>
        <w:bidi w:val="0"/>
        <w:spacing w:lineRule="auto" w:line="288" w:before="0" w:after="0"/>
        <w:jc w:val="both"/>
        <w:rPr/>
      </w:pPr>
      <w:r>
        <w:rPr>
          <w:rFonts w:ascii="sans-serif" w:hAnsi="sans-serif"/>
          <w:b/>
          <w:color w:val="000000"/>
          <w:sz w:val="22"/>
        </w:rPr>
        <w:t>VERO BEACH, Florida – July 1, 2026 –</w:t>
      </w:r>
      <w:r>
        <w:rPr>
          <w:color w:val="000000"/>
        </w:rPr>
        <w:t xml:space="preserve"> </w:t>
      </w:r>
      <w:r>
        <w:rPr>
          <w:rFonts w:ascii="sans-serif" w:hAnsi="sans-serif"/>
          <w:b w:val="false"/>
          <w:color w:val="000000"/>
          <w:sz w:val="22"/>
        </w:rPr>
        <w:t xml:space="preserve">ARMOUR Residential REIT, Inc. (NYSE: ARR and ARR-PRC) (“ARMOUR” or the “Company”) today confirmed the July 2026 cash dividend for the Company's Common Stock, consistent with the previous guidance which the Company released on June 24, 2026. The Company also confirmed the Q3 2026 monthly cash dividend rate for the Company's Series C Preferred Stock. </w:t>
      </w:r>
    </w:p>
    <w:p>
      <w:pPr>
        <w:pStyle w:val="TextBody"/>
        <w:bidi w:val="0"/>
        <w:spacing w:lineRule="auto" w:line="288" w:before="200" w:after="60"/>
        <w:jc w:val="both"/>
        <w:rPr>
          <w:rFonts w:ascii="sans-serif" w:hAnsi="sans-serif"/>
          <w:b/>
          <w:color w:val="000000"/>
          <w:sz w:val="22"/>
        </w:rPr>
      </w:pPr>
      <w:r>
        <w:rPr>
          <w:rFonts w:ascii="sans-serif" w:hAnsi="sans-serif"/>
          <w:b/>
          <w:color w:val="000000"/>
          <w:sz w:val="22"/>
        </w:rPr>
        <w:t>July 2026 Common Stock Dividend Information</w:t>
      </w:r>
    </w:p>
    <w:tbl>
      <w:tblPr>
        <w:tblW w:w="8240" w:type="dxa"/>
        <w:jc w:val="left"/>
        <w:tblInd w:w="0" w:type="dxa"/>
        <w:tblLayout w:type="fixed"/>
        <w:tblCellMar>
          <w:top w:w="28" w:type="dxa"/>
          <w:left w:w="28" w:type="dxa"/>
          <w:bottom w:w="28" w:type="dxa"/>
          <w:right w:w="28" w:type="dxa"/>
        </w:tblCellMar>
      </w:tblPr>
      <w:tblGrid>
        <w:gridCol w:w="434"/>
        <w:gridCol w:w="381"/>
        <w:gridCol w:w="384"/>
        <w:gridCol w:w="109"/>
        <w:gridCol w:w="109"/>
        <w:gridCol w:w="109"/>
        <w:gridCol w:w="410"/>
        <w:gridCol w:w="410"/>
        <w:gridCol w:w="411"/>
        <w:gridCol w:w="109"/>
        <w:gridCol w:w="109"/>
        <w:gridCol w:w="109"/>
        <w:gridCol w:w="964"/>
        <w:gridCol w:w="964"/>
        <w:gridCol w:w="967"/>
        <w:gridCol w:w="109"/>
        <w:gridCol w:w="109"/>
        <w:gridCol w:w="109"/>
        <w:gridCol w:w="565"/>
        <w:gridCol w:w="565"/>
        <w:gridCol w:w="80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Payment Date</w:t>
            </w:r>
          </w:p>
        </w:tc>
      </w:tr>
      <w:tr>
        <w:trPr/>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July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July 30, 2026</w:t>
            </w:r>
          </w:p>
        </w:tc>
      </w:tr>
    </w:tbl>
    <w:p>
      <w:pPr>
        <w:pStyle w:val="TextBody"/>
        <w:bidi w:val="0"/>
        <w:spacing w:lineRule="auto" w:line="288" w:before="240" w:after="60"/>
        <w:jc w:val="both"/>
        <w:rPr>
          <w:rFonts w:ascii="sans-serif" w:hAnsi="sans-serif"/>
          <w:b/>
          <w:color w:val="000000"/>
          <w:sz w:val="22"/>
        </w:rPr>
      </w:pPr>
      <w:r>
        <w:rPr>
          <w:rFonts w:ascii="sans-serif" w:hAnsi="sans-serif"/>
          <w:b/>
          <w:color w:val="000000"/>
          <w:sz w:val="22"/>
        </w:rPr>
        <w:t>Q3 2026 Series C Preferred Stock Dividend Information</w:t>
      </w:r>
    </w:p>
    <w:tbl>
      <w:tblPr>
        <w:tblW w:w="9696" w:type="dxa"/>
        <w:jc w:val="left"/>
        <w:tblInd w:w="0" w:type="dxa"/>
        <w:tblLayout w:type="fixed"/>
        <w:tblCellMar>
          <w:top w:w="28" w:type="dxa"/>
          <w:left w:w="28" w:type="dxa"/>
          <w:bottom w:w="28" w:type="dxa"/>
          <w:right w:w="28" w:type="dxa"/>
        </w:tblCellMar>
      </w:tblPr>
      <w:tblGrid>
        <w:gridCol w:w="744"/>
        <w:gridCol w:w="653"/>
        <w:gridCol w:w="658"/>
        <w:gridCol w:w="109"/>
        <w:gridCol w:w="109"/>
        <w:gridCol w:w="109"/>
        <w:gridCol w:w="410"/>
        <w:gridCol w:w="410"/>
        <w:gridCol w:w="411"/>
        <w:gridCol w:w="109"/>
        <w:gridCol w:w="109"/>
        <w:gridCol w:w="109"/>
        <w:gridCol w:w="964"/>
        <w:gridCol w:w="964"/>
        <w:gridCol w:w="967"/>
        <w:gridCol w:w="109"/>
        <w:gridCol w:w="109"/>
        <w:gridCol w:w="109"/>
        <w:gridCol w:w="740"/>
        <w:gridCol w:w="740"/>
        <w:gridCol w:w="1054"/>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Payment Date</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$0.14583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July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July 27, 2026</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August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$0.14583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August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August 27, 2026</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September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$0.14583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September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September 28, 2026</w:t>
            </w:r>
          </w:p>
        </w:tc>
      </w:tr>
    </w:tbl>
    <w:p>
      <w:pPr>
        <w:pStyle w:val="TextBody"/>
        <w:bidi w:val="0"/>
        <w:spacing w:lineRule="auto" w:line="288" w:before="220" w:after="60"/>
        <w:jc w:val="left"/>
        <w:rPr>
          <w:rFonts w:ascii="sans-serif" w:hAnsi="sans-serif"/>
          <w:b/>
          <w:color w:val="000000"/>
          <w:sz w:val="22"/>
        </w:rPr>
      </w:pPr>
      <w:r>
        <w:rPr>
          <w:rFonts w:ascii="sans-serif" w:hAnsi="sans-serif"/>
          <w:b/>
          <w:color w:val="000000"/>
          <w:sz w:val="22"/>
        </w:rPr>
        <w:t>Certain Tax Matters</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ARMOUR has elected to be taxed as a real estate investment trust (“REIT”) for U.S. Federal income tax purposes. In order to maintain this tax status, ARMOUR is required to timely distribute substantially all of its ordinary REIT taxable income. Dividends paid in excess of current tax earnings and profits for the year will generally not be taxable to common stockholders. Actual dividends are determined at the discretion of the Company’s Board of Directors, who may consider additional factors including the Company’s results of operations, cash flows, financial condition and capital requirements as well as current market conditions, expected opportunities and other relevant factors.</w:t>
      </w:r>
    </w:p>
    <w:p>
      <w:pPr>
        <w:pStyle w:val="TextBody"/>
        <w:bidi w:val="0"/>
        <w:spacing w:lineRule="auto" w:line="288" w:before="220" w:after="60"/>
        <w:jc w:val="left"/>
        <w:rPr>
          <w:rFonts w:ascii="sans-serif" w:hAnsi="sans-serif"/>
          <w:b/>
          <w:color w:val="000000"/>
          <w:sz w:val="22"/>
        </w:rPr>
      </w:pPr>
      <w:r>
        <w:rPr>
          <w:rFonts w:ascii="sans-serif" w:hAnsi="sans-serif"/>
          <w:b/>
          <w:color w:val="000000"/>
          <w:sz w:val="22"/>
        </w:rPr>
        <w:t>About ARMOUR Residential REIT, Inc.</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ARMOUR invests primarily in fixed rate residential, adjustable rate and hybrid adjustable rate residential mortgage-backed securities issued or guaranteed by U.S. government-sponsored enterprises or guaranteed by the Government National Mortgage Association. ARMOUR is externally managed and advised by ARMOUR Capital Management LP, an investment advisor registered with the Securities and Exchange Commission (“SEC”). </w:t>
      </w:r>
    </w:p>
    <w:p>
      <w:pPr>
        <w:pStyle w:val="TextBody"/>
        <w:bidi w:val="0"/>
        <w:spacing w:lineRule="auto" w:line="288" w:before="220" w:after="60"/>
        <w:jc w:val="left"/>
        <w:rPr>
          <w:rFonts w:ascii="sans-serif" w:hAnsi="sans-serif"/>
          <w:b/>
          <w:color w:val="000000"/>
          <w:sz w:val="22"/>
        </w:rPr>
      </w:pPr>
      <w:r>
        <w:rPr>
          <w:rFonts w:ascii="sans-serif" w:hAnsi="sans-serif"/>
          <w:b/>
          <w:color w:val="000000"/>
          <w:sz w:val="22"/>
        </w:rPr>
        <w:t>Safe Harbor</w:t>
      </w:r>
    </w:p>
    <w:p>
      <w:pPr>
        <w:pStyle w:val="TextBody"/>
        <w:bidi w:val="0"/>
        <w:spacing w:lineRule="auto" w:line="288" w:before="0" w:after="240"/>
        <w:jc w:val="both"/>
        <w:rPr>
          <w:rFonts w:ascii="sans-serif" w:hAnsi="sans-serif"/>
          <w:b w:val="false"/>
          <w:i/>
          <w:color w:val="000000"/>
          <w:sz w:val="22"/>
        </w:rPr>
      </w:pPr>
      <w:r>
        <w:rPr>
          <w:rFonts w:ascii="sans-serif" w:hAnsi="sans-serif"/>
          <w:b w:val="false"/>
          <w:i/>
          <w:color w:val="000000"/>
          <w:sz w:val="22"/>
        </w:rPr>
        <w:t>This press release includes “forward-looking statements” within the meaning of the safe harbor provisions of the United States Private Securities Litigation Reform Act of 1995. Actual results may differ from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involve significant risks and uncertainties that could cause the actual results to differ materially from the expected results. The Company disclaims any obligation to release publicly any updates or revisions to any forward-looking statement to reflect any change in its expectations or any change in events, conditions or circumstances on which any such statement is based, except as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2560"/>
                <wp:effectExtent l="0" t="0" r="0" b="0"/>
                <wp:wrapNone/>
                <wp:docPr id="5"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-MORE-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ARMOUR Confirms July 2026 Common and Q3 2026 Series C Preferred Dividends</w:t>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Page 2</w:t>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July 1, 2026</w:t>
      </w:r>
    </w:p>
    <w:p>
      <w:pPr>
        <w:pStyle w:val="TextBody"/>
        <w:bidi w:val="0"/>
        <w:spacing w:lineRule="auto" w:line="288" w:before="220" w:after="60"/>
        <w:jc w:val="both"/>
        <w:rPr>
          <w:rFonts w:ascii="sans-serif" w:hAnsi="sans-serif"/>
          <w:b/>
          <w:color w:val="000000"/>
          <w:sz w:val="22"/>
        </w:rPr>
      </w:pPr>
      <w:r>
        <w:rPr>
          <w:rFonts w:ascii="sans-serif" w:hAnsi="sans-serif"/>
          <w:b/>
          <w:color w:val="000000"/>
          <w:sz w:val="22"/>
        </w:rPr>
        <w:t>Additional Information and Where to Find It</w:t>
      </w:r>
    </w:p>
    <w:p>
      <w:pPr>
        <w:pStyle w:val="TextBody"/>
        <w:bidi w:val="0"/>
        <w:spacing w:lineRule="auto" w:line="288" w:before="0" w:after="240"/>
        <w:jc w:val="both"/>
        <w:rPr/>
      </w:pPr>
      <w:r>
        <w:rPr>
          <w:rFonts w:ascii="sans-serif" w:hAnsi="sans-serif"/>
          <w:b w:val="false"/>
          <w:color w:val="000000"/>
          <w:sz w:val="22"/>
        </w:rPr>
        <w:t xml:space="preserve">Investors, security holders and other interested persons may find additional information regarding the Company at the SEC’s internet site at </w:t>
      </w:r>
      <w:r>
        <w:rPr>
          <w:rFonts w:ascii="sans-serif" w:hAnsi="sans-serif"/>
          <w:b w:val="false"/>
          <w:color w:val="0563C1"/>
          <w:sz w:val="22"/>
          <w:u w:val="single"/>
        </w:rPr>
        <w:t>www.sec.gov</w:t>
      </w:r>
      <w:r>
        <w:rPr>
          <w:rFonts w:ascii="sans-serif" w:hAnsi="sans-serif"/>
          <w:b w:val="false"/>
          <w:color w:val="000000"/>
          <w:sz w:val="22"/>
        </w:rPr>
        <w:t xml:space="preserve">, or the Company website at </w:t>
      </w:r>
      <w:r>
        <w:rPr>
          <w:rFonts w:ascii="sans-serif" w:hAnsi="sans-serif"/>
          <w:b w:val="false"/>
          <w:color w:val="0563C1"/>
          <w:sz w:val="22"/>
          <w:u w:val="single"/>
        </w:rPr>
        <w:t>www.armourreit.com</w:t>
      </w:r>
      <w:r>
        <w:rPr>
          <w:rFonts w:ascii="sans-serif" w:hAnsi="sans-serif"/>
          <w:b w:val="false"/>
          <w:color w:val="000000"/>
          <w:sz w:val="22"/>
        </w:rPr>
        <w:t>, or by directing requests to: ARMOUR Residential REIT, Inc., 3001 Ocean Drive, Suite 201, Vero Beach, Florida 32963, Attention: Investor Relations.</w:t>
      </w:r>
    </w:p>
    <w:p>
      <w:pPr>
        <w:pStyle w:val="TextBody"/>
        <w:bidi w:val="0"/>
        <w:spacing w:lineRule="auto" w:line="288" w:before="220" w:after="60"/>
        <w:jc w:val="both"/>
        <w:rPr/>
      </w:pPr>
      <w:r>
        <w:rPr>
          <w:rFonts w:ascii="sans-serif" w:hAnsi="sans-serif"/>
          <w:b/>
          <w:color w:val="000000"/>
          <w:sz w:val="22"/>
        </w:rPr>
        <w:t>Investor Contact:</w:t>
      </w:r>
      <w:r>
        <w:rPr>
          <w:color w:val="000000"/>
        </w:rPr>
        <w:t>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Gordon M. Harper</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Chief Financial Officer</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ARMOUR Residential REIT, Inc.</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(772) 617-4340</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2560"/>
                <wp:effectExtent l="0" t="0" r="0" b="0"/>
                <wp:wrapNone/>
                <wp:docPr id="6"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 END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 END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1100</Words>
  <Characters>6166</Characters>
  <CharactersWithSpaces>7211</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